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Versand von Newslettern / Marketingmaßnahmen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Durchführung von Marketingmaßnahmen, insbesondere Versand von Newslettern und Informationen zu Produkten und Veranstaltungen.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Eine Einwilligung gem. Art. 6 Abs. 1 lit. a DS-GVO liegt vor. Die Anforderungen an die Einwilligung gem. Art. 7 Abs. 1-4 DS-GVO werden erfüllt.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Dritter (Dritter (Jede Person oder Stelle außerhalb des Verantwortlichen, die nicht selbst betroffene Person oder Auftragsverarbeiter innerhalb des EWR ist (Dienstleister zum Betrieb des Newsletter Systems).)</w:t>
      </w:r>
    </w:p>
    <w:p/>
    <w:p>
      <w:pPr/>
      <w:r>
        <w:rPr>
          <w:sz w:val="24"/>
          <w:szCs w:val="24"/>
          <w:b w:val="1"/>
          <w:bCs w:val="1"/>
        </w:rPr>
        <w:t xml:space="preserve">Auftragnehmer (Auftragsverarbeiter):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CleverReach GmbH &amp; Co. KG (Rastede)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